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872" w:rsidRPr="00641325" w:rsidRDefault="00760872" w:rsidP="00641325">
      <w:pPr>
        <w:pStyle w:val="Heading1"/>
        <w:spacing w:line="480" w:lineRule="auto"/>
        <w:rPr>
          <w:rFonts w:ascii="Times New Roman" w:hAnsi="Times New Roman" w:cs="Times New Roman"/>
          <w:b w:val="0"/>
          <w:color w:val="000000" w:themeColor="text1"/>
          <w:sz w:val="24"/>
          <w:szCs w:val="24"/>
        </w:rPr>
      </w:pPr>
    </w:p>
    <w:p w:rsidR="00760872" w:rsidRPr="00641325" w:rsidRDefault="00760872" w:rsidP="00641325">
      <w:pPr>
        <w:pStyle w:val="Heading1"/>
        <w:spacing w:line="480" w:lineRule="auto"/>
        <w:rPr>
          <w:rFonts w:ascii="Times New Roman" w:hAnsi="Times New Roman" w:cs="Times New Roman"/>
          <w:b w:val="0"/>
          <w:color w:val="000000" w:themeColor="text1"/>
          <w:sz w:val="24"/>
          <w:szCs w:val="24"/>
        </w:rPr>
      </w:pPr>
    </w:p>
    <w:p w:rsidR="00760872" w:rsidRPr="00641325" w:rsidRDefault="00760872" w:rsidP="00641325">
      <w:pPr>
        <w:pStyle w:val="Heading1"/>
        <w:spacing w:line="480" w:lineRule="auto"/>
        <w:rPr>
          <w:rFonts w:ascii="Times New Roman" w:hAnsi="Times New Roman" w:cs="Times New Roman"/>
          <w:b w:val="0"/>
          <w:color w:val="000000" w:themeColor="text1"/>
          <w:sz w:val="24"/>
          <w:szCs w:val="24"/>
        </w:rPr>
      </w:pPr>
    </w:p>
    <w:p w:rsidR="00760872" w:rsidRPr="00641325" w:rsidRDefault="00760872" w:rsidP="00641325">
      <w:pPr>
        <w:pStyle w:val="Heading1"/>
        <w:spacing w:line="480" w:lineRule="auto"/>
        <w:rPr>
          <w:rFonts w:ascii="Times New Roman" w:hAnsi="Times New Roman" w:cs="Times New Roman"/>
          <w:b w:val="0"/>
          <w:color w:val="000000" w:themeColor="text1"/>
          <w:sz w:val="24"/>
          <w:szCs w:val="24"/>
        </w:rPr>
      </w:pPr>
    </w:p>
    <w:p w:rsidR="00760872" w:rsidRPr="00641325" w:rsidRDefault="00760872" w:rsidP="00641325">
      <w:pPr>
        <w:pStyle w:val="Heading1"/>
        <w:spacing w:line="480" w:lineRule="auto"/>
        <w:rPr>
          <w:rFonts w:ascii="Times New Roman" w:hAnsi="Times New Roman" w:cs="Times New Roman"/>
          <w:b w:val="0"/>
          <w:color w:val="000000" w:themeColor="text1"/>
          <w:sz w:val="24"/>
          <w:szCs w:val="24"/>
        </w:rPr>
      </w:pPr>
    </w:p>
    <w:p w:rsidR="00105ADC" w:rsidRPr="00641325" w:rsidRDefault="00105ADC" w:rsidP="00641325">
      <w:pPr>
        <w:pStyle w:val="Heading1"/>
        <w:spacing w:line="480" w:lineRule="auto"/>
        <w:jc w:val="center"/>
        <w:rPr>
          <w:rFonts w:ascii="Times New Roman" w:hAnsi="Times New Roman" w:cs="Times New Roman"/>
          <w:b w:val="0"/>
          <w:color w:val="000000" w:themeColor="text1"/>
          <w:sz w:val="24"/>
          <w:szCs w:val="24"/>
        </w:rPr>
      </w:pPr>
      <w:r w:rsidRPr="00641325">
        <w:rPr>
          <w:rFonts w:ascii="Times New Roman" w:hAnsi="Times New Roman" w:cs="Times New Roman"/>
          <w:b w:val="0"/>
          <w:color w:val="000000" w:themeColor="text1"/>
          <w:sz w:val="24"/>
          <w:szCs w:val="24"/>
        </w:rPr>
        <w:t>Ov</w:t>
      </w:r>
      <w:r w:rsidR="00D35078" w:rsidRPr="00641325">
        <w:rPr>
          <w:rFonts w:ascii="Times New Roman" w:hAnsi="Times New Roman" w:cs="Times New Roman"/>
          <w:b w:val="0"/>
          <w:color w:val="000000" w:themeColor="text1"/>
          <w:sz w:val="24"/>
          <w:szCs w:val="24"/>
        </w:rPr>
        <w:t>ersea Businesses.</w:t>
      </w:r>
    </w:p>
    <w:p w:rsidR="00105ADC" w:rsidRPr="00641325" w:rsidRDefault="00105ADC" w:rsidP="00641325">
      <w:pPr>
        <w:spacing w:line="480" w:lineRule="auto"/>
        <w:jc w:val="center"/>
        <w:rPr>
          <w:rFonts w:ascii="Times New Roman" w:hAnsi="Times New Roman" w:cs="Times New Roman"/>
          <w:sz w:val="24"/>
          <w:szCs w:val="24"/>
        </w:rPr>
      </w:pPr>
      <w:r w:rsidRPr="00641325">
        <w:rPr>
          <w:rFonts w:ascii="Times New Roman" w:hAnsi="Times New Roman" w:cs="Times New Roman"/>
          <w:sz w:val="24"/>
          <w:szCs w:val="24"/>
        </w:rPr>
        <w:t>Name.</w:t>
      </w:r>
    </w:p>
    <w:p w:rsidR="00105ADC" w:rsidRPr="00641325" w:rsidRDefault="00105ADC" w:rsidP="00641325">
      <w:pPr>
        <w:spacing w:line="480" w:lineRule="auto"/>
        <w:jc w:val="center"/>
        <w:rPr>
          <w:rFonts w:ascii="Times New Roman" w:hAnsi="Times New Roman" w:cs="Times New Roman"/>
          <w:sz w:val="24"/>
          <w:szCs w:val="24"/>
        </w:rPr>
      </w:pPr>
      <w:r w:rsidRPr="00641325">
        <w:rPr>
          <w:rFonts w:ascii="Times New Roman" w:hAnsi="Times New Roman" w:cs="Times New Roman"/>
          <w:sz w:val="24"/>
          <w:szCs w:val="24"/>
        </w:rPr>
        <w:t>Institution.</w:t>
      </w:r>
    </w:p>
    <w:p w:rsidR="00105ADC" w:rsidRPr="00641325" w:rsidRDefault="00105ADC" w:rsidP="00641325">
      <w:pPr>
        <w:spacing w:line="480" w:lineRule="auto"/>
        <w:jc w:val="center"/>
        <w:rPr>
          <w:rFonts w:ascii="Times New Roman" w:hAnsi="Times New Roman" w:cs="Times New Roman"/>
          <w:sz w:val="24"/>
          <w:szCs w:val="24"/>
        </w:rPr>
      </w:pPr>
      <w:r w:rsidRPr="00641325">
        <w:rPr>
          <w:rFonts w:ascii="Times New Roman" w:hAnsi="Times New Roman" w:cs="Times New Roman"/>
          <w:sz w:val="24"/>
          <w:szCs w:val="24"/>
        </w:rPr>
        <w:t>Date.</w:t>
      </w:r>
    </w:p>
    <w:p w:rsidR="00A72632" w:rsidRPr="00641325" w:rsidRDefault="00A72632" w:rsidP="00641325">
      <w:pPr>
        <w:spacing w:line="480" w:lineRule="auto"/>
        <w:jc w:val="center"/>
        <w:rPr>
          <w:rFonts w:ascii="Times New Roman" w:hAnsi="Times New Roman" w:cs="Times New Roman"/>
          <w:sz w:val="24"/>
          <w:szCs w:val="24"/>
        </w:rPr>
      </w:pPr>
    </w:p>
    <w:p w:rsidR="00A72632" w:rsidRPr="00641325" w:rsidRDefault="00A72632" w:rsidP="00641325">
      <w:pPr>
        <w:spacing w:line="480" w:lineRule="auto"/>
        <w:jc w:val="center"/>
        <w:rPr>
          <w:rFonts w:ascii="Times New Roman" w:hAnsi="Times New Roman" w:cs="Times New Roman"/>
          <w:sz w:val="24"/>
          <w:szCs w:val="24"/>
        </w:rPr>
      </w:pPr>
    </w:p>
    <w:p w:rsidR="00A72632" w:rsidRPr="00641325" w:rsidRDefault="00A72632" w:rsidP="00641325">
      <w:pPr>
        <w:spacing w:line="480" w:lineRule="auto"/>
        <w:jc w:val="center"/>
        <w:rPr>
          <w:rFonts w:ascii="Times New Roman" w:hAnsi="Times New Roman" w:cs="Times New Roman"/>
          <w:sz w:val="24"/>
          <w:szCs w:val="24"/>
        </w:rPr>
      </w:pPr>
    </w:p>
    <w:p w:rsidR="00A72632" w:rsidRPr="00641325" w:rsidRDefault="00A72632" w:rsidP="00641325">
      <w:pPr>
        <w:spacing w:line="480" w:lineRule="auto"/>
        <w:jc w:val="center"/>
        <w:rPr>
          <w:rFonts w:ascii="Times New Roman" w:hAnsi="Times New Roman" w:cs="Times New Roman"/>
          <w:sz w:val="24"/>
          <w:szCs w:val="24"/>
        </w:rPr>
      </w:pPr>
    </w:p>
    <w:p w:rsidR="00A72632" w:rsidRPr="00641325" w:rsidRDefault="00A72632" w:rsidP="00641325">
      <w:pPr>
        <w:spacing w:line="480" w:lineRule="auto"/>
        <w:jc w:val="center"/>
        <w:rPr>
          <w:rFonts w:ascii="Times New Roman" w:hAnsi="Times New Roman" w:cs="Times New Roman"/>
          <w:sz w:val="24"/>
          <w:szCs w:val="24"/>
        </w:rPr>
      </w:pPr>
    </w:p>
    <w:p w:rsidR="00A72632" w:rsidRPr="00641325" w:rsidRDefault="00105ADC" w:rsidP="00641325">
      <w:pPr>
        <w:pStyle w:val="Heading1"/>
        <w:spacing w:line="480" w:lineRule="auto"/>
        <w:jc w:val="center"/>
        <w:rPr>
          <w:rFonts w:ascii="Times New Roman" w:hAnsi="Times New Roman" w:cs="Times New Roman"/>
          <w:b w:val="0"/>
          <w:color w:val="000000" w:themeColor="text1"/>
          <w:sz w:val="24"/>
          <w:szCs w:val="24"/>
        </w:rPr>
      </w:pPr>
      <w:r w:rsidRPr="00641325">
        <w:rPr>
          <w:rFonts w:ascii="Times New Roman" w:hAnsi="Times New Roman" w:cs="Times New Roman"/>
          <w:b w:val="0"/>
          <w:color w:val="000000" w:themeColor="text1"/>
          <w:sz w:val="24"/>
          <w:szCs w:val="24"/>
        </w:rPr>
        <w:lastRenderedPageBreak/>
        <w:t>O</w:t>
      </w:r>
      <w:r w:rsidR="00D35078" w:rsidRPr="00641325">
        <w:rPr>
          <w:rFonts w:ascii="Times New Roman" w:hAnsi="Times New Roman" w:cs="Times New Roman"/>
          <w:b w:val="0"/>
          <w:color w:val="000000" w:themeColor="text1"/>
          <w:sz w:val="24"/>
          <w:szCs w:val="24"/>
        </w:rPr>
        <w:t>versea Businesses</w:t>
      </w:r>
      <w:r w:rsidR="00A72632" w:rsidRPr="00641325">
        <w:rPr>
          <w:rFonts w:ascii="Times New Roman" w:hAnsi="Times New Roman" w:cs="Times New Roman"/>
          <w:b w:val="0"/>
          <w:color w:val="000000" w:themeColor="text1"/>
          <w:sz w:val="24"/>
          <w:szCs w:val="24"/>
        </w:rPr>
        <w:t>.</w:t>
      </w:r>
    </w:p>
    <w:p w:rsidR="00641325" w:rsidRPr="00641325" w:rsidRDefault="00641325" w:rsidP="00641325">
      <w:pPr>
        <w:spacing w:line="480" w:lineRule="auto"/>
        <w:ind w:firstLine="720"/>
        <w:rPr>
          <w:rFonts w:ascii="Times New Roman" w:hAnsi="Times New Roman" w:cs="Times New Roman"/>
          <w:b/>
          <w:sz w:val="24"/>
          <w:szCs w:val="24"/>
        </w:rPr>
      </w:pPr>
      <w:r w:rsidRPr="00641325">
        <w:rPr>
          <w:rFonts w:ascii="Times New Roman" w:hAnsi="Times New Roman" w:cs="Times New Roman"/>
          <w:b/>
          <w:sz w:val="24"/>
          <w:szCs w:val="24"/>
        </w:rPr>
        <w:t>Activity 1.</w:t>
      </w:r>
    </w:p>
    <w:p w:rsidR="00641325" w:rsidRPr="00641325" w:rsidRDefault="00641325" w:rsidP="00641325">
      <w:pPr>
        <w:spacing w:line="480" w:lineRule="auto"/>
        <w:ind w:firstLine="720"/>
        <w:rPr>
          <w:rFonts w:ascii="Times New Roman" w:hAnsi="Times New Roman" w:cs="Times New Roman"/>
          <w:sz w:val="24"/>
          <w:szCs w:val="24"/>
        </w:rPr>
      </w:pPr>
      <w:r w:rsidRPr="00641325">
        <w:rPr>
          <w:rFonts w:ascii="Times New Roman" w:hAnsi="Times New Roman" w:cs="Times New Roman"/>
          <w:sz w:val="24"/>
          <w:szCs w:val="24"/>
        </w:rPr>
        <w:t xml:space="preserve">The countries of focus in this paper are the United States, Canada, and China. When investing in overseas business, it is essential to acquire all needed information in relation to possible locations. Generally, starting a business in a different country can be successful if a thorough investigation is done in regard to the location of investment but can fail terribly when wrong choices are made (Burdon, 2009). The United States is known as a top investment spot and consistently classified among the best globally due to its innovation, competitiveness and high effort in doing business. While the quality of infrastructure is not consistent across the nation, the country's government is investing highly in infrastructural projects which are scheduled to be completed in the near future. Another reason to choose the United States as an overseas business spot is that it boasts one of the best workforces across the world. It consists of 63 universities out of a total of 200 universities across the planet (Burdon, 2009). Advantages associated with selecting the United States for overseas investment are high quality of life, open markets, and a business-friendly environment. </w:t>
      </w:r>
    </w:p>
    <w:p w:rsidR="00641325" w:rsidRPr="00641325" w:rsidRDefault="00641325" w:rsidP="00641325">
      <w:pPr>
        <w:spacing w:line="480" w:lineRule="auto"/>
        <w:ind w:firstLine="720"/>
        <w:rPr>
          <w:rFonts w:ascii="Times New Roman" w:hAnsi="Times New Roman" w:cs="Times New Roman"/>
          <w:sz w:val="24"/>
          <w:szCs w:val="24"/>
        </w:rPr>
      </w:pPr>
      <w:r w:rsidRPr="00641325">
        <w:rPr>
          <w:rFonts w:ascii="Times New Roman" w:hAnsi="Times New Roman" w:cs="Times New Roman"/>
          <w:sz w:val="24"/>
          <w:szCs w:val="24"/>
        </w:rPr>
        <w:t>China on the other side is known as an excellent spot to start a business due to its high population, good infrastructures as well as supportive Government which encourages and promotes business which in turn fosters the country's economy. (Sabine, 2013)As a vibrant, multicultural hub, Canada provides a good business environment for investors as well as critical incentives for business growth. The nation has undergone a remarkable transformation due to a reduction in business taxes and the integration of fiscal policies (Sabine, 2013).</w:t>
      </w:r>
    </w:p>
    <w:p w:rsidR="00641325" w:rsidRPr="00641325" w:rsidRDefault="00641325" w:rsidP="00641325">
      <w:pPr>
        <w:spacing w:line="480" w:lineRule="auto"/>
        <w:ind w:firstLine="720"/>
        <w:rPr>
          <w:rFonts w:ascii="Times New Roman" w:hAnsi="Times New Roman" w:cs="Times New Roman"/>
          <w:sz w:val="24"/>
          <w:szCs w:val="24"/>
        </w:rPr>
      </w:pPr>
      <w:r w:rsidRPr="00641325">
        <w:rPr>
          <w:rFonts w:ascii="Times New Roman" w:hAnsi="Times New Roman" w:cs="Times New Roman"/>
          <w:sz w:val="24"/>
          <w:szCs w:val="24"/>
        </w:rPr>
        <w:lastRenderedPageBreak/>
        <w:t xml:space="preserve">What makes these three countries to gain attention from foreign investors is their ability to encourage and promote competition, free enterprise, and economic growth. It is apparent that these business zones provide the world's leading consumer market as well as a transparent economy. Additionally, the regulatory process provides freedom in terms of operation and thus easing the process of starting a business (Burdon, 2009). However, it is essential to develop an exit plan before venturing in an overseas business. The step of developing a strategy to opt out of a market is important because if the business does not succeed, then it will be possible to salvage much of the initial investment and thus reducing the loss. </w:t>
      </w:r>
    </w:p>
    <w:p w:rsidR="00641325" w:rsidRPr="00641325" w:rsidRDefault="00641325" w:rsidP="00641325">
      <w:pPr>
        <w:spacing w:line="480" w:lineRule="auto"/>
        <w:ind w:firstLine="720"/>
        <w:rPr>
          <w:rFonts w:ascii="Times New Roman" w:hAnsi="Times New Roman" w:cs="Times New Roman"/>
          <w:b/>
          <w:sz w:val="24"/>
          <w:szCs w:val="24"/>
        </w:rPr>
      </w:pPr>
      <w:r w:rsidRPr="00641325">
        <w:rPr>
          <w:rFonts w:ascii="Times New Roman" w:hAnsi="Times New Roman" w:cs="Times New Roman"/>
          <w:b/>
          <w:sz w:val="24"/>
          <w:szCs w:val="24"/>
        </w:rPr>
        <w:t>Activity 2</w:t>
      </w:r>
    </w:p>
    <w:p w:rsidR="00641325" w:rsidRPr="00641325" w:rsidRDefault="00641325" w:rsidP="00641325">
      <w:pPr>
        <w:spacing w:line="480" w:lineRule="auto"/>
        <w:ind w:firstLine="720"/>
        <w:rPr>
          <w:rFonts w:ascii="Times New Roman" w:hAnsi="Times New Roman" w:cs="Times New Roman"/>
          <w:sz w:val="24"/>
          <w:szCs w:val="24"/>
        </w:rPr>
      </w:pPr>
      <w:r w:rsidRPr="00641325">
        <w:rPr>
          <w:rFonts w:ascii="Times New Roman" w:hAnsi="Times New Roman" w:cs="Times New Roman"/>
          <w:sz w:val="24"/>
          <w:szCs w:val="24"/>
        </w:rPr>
        <w:t xml:space="preserve">The following is an analysis of the current exchange rate between the United States, China, and Canada. Global businesses that file the central income tax return to the US government must disclose any income as a requirement by United States income tax in United States dollars. Conversely, there are different laws when these types of businesses happen in other nations; they must comply with the laws sets in the nation of investment. Thus, global enterprises structure their plans to function efficiently and legally for both tax reasons and comprehensive accounting. </w:t>
      </w:r>
    </w:p>
    <w:p w:rsidR="00641325" w:rsidRPr="00641325" w:rsidRDefault="00641325" w:rsidP="00641325">
      <w:pPr>
        <w:spacing w:line="480" w:lineRule="auto"/>
        <w:ind w:firstLine="720"/>
        <w:rPr>
          <w:rFonts w:ascii="Times New Roman" w:hAnsi="Times New Roman" w:cs="Times New Roman"/>
          <w:sz w:val="24"/>
          <w:szCs w:val="24"/>
        </w:rPr>
      </w:pPr>
      <w:r w:rsidRPr="00641325">
        <w:rPr>
          <w:rFonts w:ascii="Times New Roman" w:hAnsi="Times New Roman" w:cs="Times New Roman"/>
          <w:sz w:val="24"/>
          <w:szCs w:val="24"/>
        </w:rPr>
        <w:t xml:space="preserve">A significant problem experienced when reporting total income of a business subject to  United States federal income tax is determining the gross income in non- United States regions (Burdon, 2009). Since exchange rates are determined in dollars, other currencies must be translated to the US dollars. In order to accomplish that, a suitable exchange rate must be established to translate the international currencies. </w:t>
      </w:r>
    </w:p>
    <w:p w:rsidR="00641325" w:rsidRPr="00641325" w:rsidRDefault="00641325" w:rsidP="00641325">
      <w:pPr>
        <w:spacing w:line="480" w:lineRule="auto"/>
        <w:ind w:firstLine="720"/>
        <w:rPr>
          <w:rFonts w:ascii="Times New Roman" w:hAnsi="Times New Roman" w:cs="Times New Roman"/>
          <w:sz w:val="24"/>
          <w:szCs w:val="24"/>
        </w:rPr>
      </w:pPr>
      <w:r w:rsidRPr="00641325">
        <w:rPr>
          <w:rFonts w:ascii="Times New Roman" w:hAnsi="Times New Roman" w:cs="Times New Roman"/>
          <w:sz w:val="24"/>
          <w:szCs w:val="24"/>
        </w:rPr>
        <w:lastRenderedPageBreak/>
        <w:t xml:space="preserve">The suitable exchange is rate is usually based on the income to be reported the US federal of income tax. In the international market, the key partners are China, Japan, Mexico, and Canada. Today currency exchange rate Japanese yen into US dollar is 1 USD= 108.99 JPY (Slowotzky, 2018). The current exchange rate of the Canadian dollar to US dollar is 1 USD=16 CAD (Slowotzky, 2018). Today currency exchange rate from Mexican peso I USD= 20 MXN (Slowotzky, 2018). The present-day exchange rate between the United States and China is 1 USD=7.14 CNY (Slowotzky, 2018). However, the rate of the exchange rate is subject to change since it is determined by fluctuations in markets. </w:t>
      </w:r>
    </w:p>
    <w:p w:rsidR="00641325" w:rsidRPr="00641325" w:rsidRDefault="00641325" w:rsidP="00641325">
      <w:pPr>
        <w:spacing w:line="480" w:lineRule="auto"/>
        <w:ind w:firstLine="720"/>
        <w:rPr>
          <w:rFonts w:ascii="Times New Roman" w:hAnsi="Times New Roman" w:cs="Times New Roman"/>
          <w:b/>
          <w:sz w:val="24"/>
          <w:szCs w:val="24"/>
        </w:rPr>
      </w:pPr>
      <w:r w:rsidRPr="00641325">
        <w:rPr>
          <w:rFonts w:ascii="Times New Roman" w:hAnsi="Times New Roman" w:cs="Times New Roman"/>
          <w:b/>
          <w:sz w:val="24"/>
          <w:szCs w:val="24"/>
        </w:rPr>
        <w:t>Activity 3</w:t>
      </w:r>
    </w:p>
    <w:p w:rsidR="00641325" w:rsidRPr="00641325" w:rsidRDefault="00641325" w:rsidP="00641325">
      <w:pPr>
        <w:spacing w:line="480" w:lineRule="auto"/>
        <w:ind w:firstLine="720"/>
        <w:rPr>
          <w:rFonts w:ascii="Times New Roman" w:hAnsi="Times New Roman" w:cs="Times New Roman"/>
          <w:sz w:val="24"/>
          <w:szCs w:val="24"/>
        </w:rPr>
      </w:pPr>
      <w:r w:rsidRPr="00641325">
        <w:rPr>
          <w:rFonts w:ascii="Times New Roman" w:hAnsi="Times New Roman" w:cs="Times New Roman"/>
          <w:sz w:val="24"/>
          <w:szCs w:val="24"/>
        </w:rPr>
        <w:t>The following is the analysis of the exchange rates, economy, and foreign market in overseas business in China, Canada, and the United States. The United States dollar is primarily known as the world's exchange currency since it is the most used in international markets. Research shows that two-thirds of the worlds gross currency reserves are held in the United States (Burdon, 2009). Despite the Treasury Department having the power to control international financial problems, the treasury depends on the Federal Government to make critical decisions on setting foreign exchange rates. Conversely, United States involvement in the foreign exchange market has drastically reduced in the last few years. The concerned authorities have instead promoted competition and let the domestic monetary laws and foreign exchange market establish exchange rates.</w:t>
      </w:r>
    </w:p>
    <w:p w:rsidR="00641325" w:rsidRPr="00641325" w:rsidRDefault="00641325" w:rsidP="00641325">
      <w:pPr>
        <w:spacing w:line="480" w:lineRule="auto"/>
        <w:ind w:firstLine="720"/>
        <w:rPr>
          <w:rFonts w:ascii="Times New Roman" w:hAnsi="Times New Roman" w:cs="Times New Roman"/>
          <w:sz w:val="24"/>
          <w:szCs w:val="24"/>
        </w:rPr>
      </w:pPr>
      <w:r w:rsidRPr="00641325">
        <w:rPr>
          <w:rFonts w:ascii="Times New Roman" w:hAnsi="Times New Roman" w:cs="Times New Roman"/>
          <w:sz w:val="24"/>
          <w:szCs w:val="24"/>
        </w:rPr>
        <w:t xml:space="preserve">In relation to the economy, the United States government has experienced the significant task of curbing the effects of the downturn through monetary policy and expansionary fiscal (Slowotzky, 2018). On the Fiscal policy, the US government tax reductions and incentive </w:t>
      </w:r>
      <w:r w:rsidRPr="00641325">
        <w:rPr>
          <w:rFonts w:ascii="Times New Roman" w:hAnsi="Times New Roman" w:cs="Times New Roman"/>
          <w:sz w:val="24"/>
          <w:szCs w:val="24"/>
        </w:rPr>
        <w:lastRenderedPageBreak/>
        <w:t>spending has significantly reduced the decline of the economy. In monetary policy, the United States has worked to reduce the downward trend of the economy through the adoption of both unconventional and traditional policies. In China, from the time of economic modification which was marked by opening up policy that was adopted in the year 1990, China has undergone massive economic growth recording an incredible 10% growth per annum in three decades (Sabine, 2013). Similar to the United States, Canada economy has rejuvenated because of the adoption of fiscal policies as well as low business tax costs.</w:t>
      </w:r>
    </w:p>
    <w:p w:rsidR="00641325" w:rsidRPr="00641325" w:rsidRDefault="00641325" w:rsidP="00641325">
      <w:pPr>
        <w:spacing w:line="480" w:lineRule="auto"/>
        <w:ind w:firstLine="720"/>
        <w:rPr>
          <w:rFonts w:ascii="Times New Roman" w:hAnsi="Times New Roman" w:cs="Times New Roman"/>
          <w:sz w:val="24"/>
          <w:szCs w:val="24"/>
        </w:rPr>
      </w:pPr>
      <w:r w:rsidRPr="00641325">
        <w:rPr>
          <w:rFonts w:ascii="Times New Roman" w:hAnsi="Times New Roman" w:cs="Times New Roman"/>
          <w:sz w:val="24"/>
          <w:szCs w:val="24"/>
        </w:rPr>
        <w:t>In regard to the foreign market, the three countries have been great partners. The United States is the second leading exporter and first leading importer of goods and services across the globe. The country has run a trade insufficiency continuously due to the reliance of other foreign markets to meet its needs. The primary trading partners of the United States are China, Japan, Mexico and Canada (Slowotzky, 2018). China is the most significant source of United States imports. On the other hand, Canada imports come from the United States. It is apparent the United States is one of the major players in the international market and acts as a nation to encourage free trade as well as reducing trade barriers.</w:t>
      </w:r>
    </w:p>
    <w:p w:rsidR="00641325" w:rsidRPr="00641325" w:rsidRDefault="00641325" w:rsidP="00641325">
      <w:pPr>
        <w:spacing w:line="480" w:lineRule="auto"/>
        <w:ind w:left="720" w:hanging="720"/>
        <w:rPr>
          <w:rFonts w:ascii="Times New Roman" w:hAnsi="Times New Roman" w:cs="Times New Roman"/>
          <w:sz w:val="24"/>
          <w:szCs w:val="24"/>
        </w:rPr>
      </w:pPr>
    </w:p>
    <w:p w:rsidR="00641325" w:rsidRPr="00641325" w:rsidRDefault="00641325" w:rsidP="00641325">
      <w:pPr>
        <w:spacing w:line="480" w:lineRule="auto"/>
        <w:ind w:left="720" w:hanging="720"/>
        <w:rPr>
          <w:rFonts w:ascii="Times New Roman" w:hAnsi="Times New Roman" w:cs="Times New Roman"/>
          <w:sz w:val="24"/>
          <w:szCs w:val="24"/>
        </w:rPr>
      </w:pPr>
    </w:p>
    <w:p w:rsidR="00641325" w:rsidRPr="00641325" w:rsidRDefault="00641325" w:rsidP="00641325">
      <w:pPr>
        <w:spacing w:line="480" w:lineRule="auto"/>
        <w:ind w:left="720" w:hanging="720"/>
        <w:rPr>
          <w:rFonts w:ascii="Times New Roman" w:hAnsi="Times New Roman" w:cs="Times New Roman"/>
          <w:sz w:val="24"/>
          <w:szCs w:val="24"/>
        </w:rPr>
      </w:pPr>
    </w:p>
    <w:p w:rsidR="00641325" w:rsidRDefault="00641325" w:rsidP="00641325">
      <w:pPr>
        <w:spacing w:line="480" w:lineRule="auto"/>
        <w:rPr>
          <w:rFonts w:ascii="Times New Roman" w:hAnsi="Times New Roman" w:cs="Times New Roman"/>
          <w:sz w:val="24"/>
          <w:szCs w:val="24"/>
        </w:rPr>
      </w:pPr>
    </w:p>
    <w:p w:rsidR="00641325" w:rsidRDefault="00641325" w:rsidP="00641325">
      <w:pPr>
        <w:spacing w:line="480" w:lineRule="auto"/>
        <w:rPr>
          <w:rFonts w:ascii="Times New Roman" w:hAnsi="Times New Roman" w:cs="Times New Roman"/>
          <w:sz w:val="24"/>
          <w:szCs w:val="24"/>
        </w:rPr>
      </w:pPr>
    </w:p>
    <w:p w:rsidR="00641325" w:rsidRPr="00641325" w:rsidRDefault="00641325" w:rsidP="00641325">
      <w:pPr>
        <w:spacing w:line="480" w:lineRule="auto"/>
        <w:rPr>
          <w:rFonts w:ascii="Times New Roman" w:hAnsi="Times New Roman" w:cs="Times New Roman"/>
          <w:sz w:val="24"/>
          <w:szCs w:val="24"/>
        </w:rPr>
      </w:pPr>
    </w:p>
    <w:p w:rsidR="00641325" w:rsidRPr="00641325" w:rsidRDefault="00641325" w:rsidP="00641325">
      <w:pPr>
        <w:spacing w:line="480" w:lineRule="auto"/>
        <w:ind w:left="720" w:hanging="720"/>
        <w:jc w:val="center"/>
        <w:rPr>
          <w:rFonts w:ascii="Times New Roman" w:hAnsi="Times New Roman" w:cs="Times New Roman"/>
          <w:sz w:val="24"/>
          <w:szCs w:val="24"/>
        </w:rPr>
      </w:pPr>
      <w:r w:rsidRPr="00641325">
        <w:rPr>
          <w:rFonts w:ascii="Times New Roman" w:hAnsi="Times New Roman" w:cs="Times New Roman"/>
          <w:sz w:val="24"/>
          <w:szCs w:val="24"/>
        </w:rPr>
        <w:lastRenderedPageBreak/>
        <w:t>References</w:t>
      </w:r>
    </w:p>
    <w:p w:rsidR="00641325" w:rsidRPr="00641325" w:rsidRDefault="00641325" w:rsidP="00641325">
      <w:pPr>
        <w:spacing w:line="480" w:lineRule="auto"/>
        <w:ind w:left="720" w:hanging="720"/>
        <w:rPr>
          <w:rFonts w:ascii="Times New Roman" w:hAnsi="Times New Roman" w:cs="Times New Roman"/>
          <w:sz w:val="24"/>
          <w:szCs w:val="24"/>
        </w:rPr>
      </w:pPr>
      <w:r w:rsidRPr="00641325">
        <w:rPr>
          <w:rFonts w:ascii="Times New Roman" w:hAnsi="Times New Roman" w:cs="Times New Roman"/>
          <w:sz w:val="24"/>
          <w:szCs w:val="24"/>
        </w:rPr>
        <w:t xml:space="preserve">Burdon, S. (2009). Structuring enduring strategic alliances. </w:t>
      </w:r>
      <w:r w:rsidRPr="00641325">
        <w:rPr>
          <w:rFonts w:ascii="Times New Roman" w:hAnsi="Times New Roman" w:cs="Times New Roman"/>
          <w:i/>
          <w:sz w:val="24"/>
          <w:szCs w:val="24"/>
        </w:rPr>
        <w:t>Journal of Business Strategy,</w:t>
      </w:r>
      <w:r w:rsidRPr="00641325">
        <w:rPr>
          <w:rFonts w:ascii="Times New Roman" w:hAnsi="Times New Roman" w:cs="Times New Roman"/>
          <w:sz w:val="24"/>
          <w:szCs w:val="24"/>
        </w:rPr>
        <w:t xml:space="preserve"> 42-50.</w:t>
      </w:r>
    </w:p>
    <w:p w:rsidR="00641325" w:rsidRPr="00641325" w:rsidRDefault="00641325" w:rsidP="00641325">
      <w:pPr>
        <w:spacing w:line="480" w:lineRule="auto"/>
        <w:ind w:left="720" w:hanging="720"/>
        <w:rPr>
          <w:rFonts w:ascii="Times New Roman" w:hAnsi="Times New Roman" w:cs="Times New Roman"/>
          <w:sz w:val="24"/>
          <w:szCs w:val="24"/>
        </w:rPr>
      </w:pPr>
      <w:r w:rsidRPr="00641325">
        <w:rPr>
          <w:rFonts w:ascii="Times New Roman" w:hAnsi="Times New Roman" w:cs="Times New Roman"/>
          <w:sz w:val="24"/>
          <w:szCs w:val="24"/>
        </w:rPr>
        <w:t xml:space="preserve">Sabine, V. (2013). How to do business abroad. </w:t>
      </w:r>
      <w:r w:rsidRPr="00641325">
        <w:rPr>
          <w:rFonts w:ascii="Times New Roman" w:hAnsi="Times New Roman" w:cs="Times New Roman"/>
          <w:i/>
          <w:sz w:val="24"/>
          <w:szCs w:val="24"/>
        </w:rPr>
        <w:t>Journal of Accountancy,</w:t>
      </w:r>
      <w:r w:rsidRPr="00641325">
        <w:rPr>
          <w:rFonts w:ascii="Times New Roman" w:hAnsi="Times New Roman" w:cs="Times New Roman"/>
          <w:sz w:val="24"/>
          <w:szCs w:val="24"/>
        </w:rPr>
        <w:t xml:space="preserve"> 14-18.</w:t>
      </w:r>
    </w:p>
    <w:p w:rsidR="008552C7" w:rsidRPr="00641325" w:rsidRDefault="00641325" w:rsidP="00641325">
      <w:pPr>
        <w:spacing w:line="480" w:lineRule="auto"/>
        <w:ind w:left="720" w:hanging="720"/>
        <w:rPr>
          <w:rFonts w:ascii="Times New Roman" w:hAnsi="Times New Roman" w:cs="Times New Roman"/>
          <w:sz w:val="24"/>
          <w:szCs w:val="24"/>
        </w:rPr>
      </w:pPr>
      <w:r w:rsidRPr="00641325">
        <w:rPr>
          <w:rFonts w:ascii="Times New Roman" w:hAnsi="Times New Roman" w:cs="Times New Roman"/>
          <w:sz w:val="24"/>
          <w:szCs w:val="24"/>
        </w:rPr>
        <w:t xml:space="preserve">Slowotzky, A. (2018). Stop Competing Yourself to Death: Strategic collaboration among rivals. </w:t>
      </w:r>
      <w:r w:rsidRPr="00641325">
        <w:rPr>
          <w:rFonts w:ascii="Times New Roman" w:hAnsi="Times New Roman" w:cs="Times New Roman"/>
          <w:i/>
          <w:sz w:val="24"/>
          <w:szCs w:val="24"/>
        </w:rPr>
        <w:t xml:space="preserve">Journal of Business Strategy, </w:t>
      </w:r>
      <w:r w:rsidRPr="00641325">
        <w:rPr>
          <w:rFonts w:ascii="Times New Roman" w:hAnsi="Times New Roman" w:cs="Times New Roman"/>
          <w:sz w:val="24"/>
          <w:szCs w:val="24"/>
        </w:rPr>
        <w:t>117-121</w:t>
      </w:r>
    </w:p>
    <w:sectPr w:rsidR="008552C7" w:rsidRPr="00641325" w:rsidSect="00105A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4C8A" w:rsidRDefault="009E4C8A" w:rsidP="00105ADC">
      <w:pPr>
        <w:spacing w:after="0" w:line="240" w:lineRule="auto"/>
      </w:pPr>
      <w:r>
        <w:separator/>
      </w:r>
    </w:p>
  </w:endnote>
  <w:endnote w:type="continuationSeparator" w:id="1">
    <w:p w:rsidR="009E4C8A" w:rsidRDefault="009E4C8A" w:rsidP="00105A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4C8A" w:rsidRDefault="009E4C8A" w:rsidP="00105ADC">
      <w:pPr>
        <w:spacing w:after="0" w:line="240" w:lineRule="auto"/>
      </w:pPr>
      <w:r>
        <w:separator/>
      </w:r>
    </w:p>
  </w:footnote>
  <w:footnote w:type="continuationSeparator" w:id="1">
    <w:p w:rsidR="009E4C8A" w:rsidRDefault="009E4C8A" w:rsidP="00105A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9B" w:rsidRDefault="0056249B">
    <w:pPr>
      <w:pStyle w:val="Header"/>
      <w:jc w:val="right"/>
    </w:pPr>
    <w:r>
      <w:rPr>
        <w:rFonts w:ascii="Times New Roman" w:hAnsi="Times New Roman" w:cs="Times New Roman"/>
        <w:sz w:val="24"/>
        <w:szCs w:val="24"/>
      </w:rPr>
      <w:t xml:space="preserve">OVERSEA BUSINESSES                                                                                                               </w:t>
    </w:r>
    <w:sdt>
      <w:sdtPr>
        <w:id w:val="224159"/>
        <w:docPartObj>
          <w:docPartGallery w:val="Page Numbers (Top of Page)"/>
          <w:docPartUnique/>
        </w:docPartObj>
      </w:sdtPr>
      <w:sdtContent>
        <w:fldSimple w:instr=" PAGE   \* MERGEFORMAT ">
          <w:r w:rsidR="00641325">
            <w:rPr>
              <w:noProof/>
            </w:rPr>
            <w:t>6</w:t>
          </w:r>
        </w:fldSimple>
      </w:sdtContent>
    </w:sdt>
  </w:p>
  <w:p w:rsidR="0056249B" w:rsidRDefault="0056249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9B" w:rsidRDefault="0056249B">
    <w:pPr>
      <w:pStyle w:val="Header"/>
      <w:jc w:val="right"/>
    </w:pPr>
    <w:r>
      <w:rPr>
        <w:rFonts w:ascii="Times New Roman" w:hAnsi="Times New Roman" w:cs="Times New Roman"/>
        <w:sz w:val="24"/>
        <w:szCs w:val="24"/>
      </w:rPr>
      <w:t xml:space="preserve">Running head: OVERSEA BUSINESSES                                                                                      </w:t>
    </w:r>
    <w:sdt>
      <w:sdtPr>
        <w:id w:val="224305"/>
        <w:docPartObj>
          <w:docPartGallery w:val="Page Numbers (Top of Page)"/>
          <w:docPartUnique/>
        </w:docPartObj>
      </w:sdtPr>
      <w:sdtContent>
        <w:fldSimple w:instr=" PAGE   \* MERGEFORMAT ">
          <w:r w:rsidR="00641325">
            <w:rPr>
              <w:noProof/>
            </w:rPr>
            <w:t>1</w:t>
          </w:r>
        </w:fldSimple>
      </w:sdtContent>
    </w:sdt>
  </w:p>
  <w:p w:rsidR="0056249B" w:rsidRPr="00D35078" w:rsidRDefault="0056249B" w:rsidP="00D35078">
    <w:pPr>
      <w:pStyle w:val="Header"/>
      <w:tabs>
        <w:tab w:val="clear" w:pos="4680"/>
        <w:tab w:val="clear" w:pos="9360"/>
        <w:tab w:val="left" w:pos="3510"/>
      </w:tabs>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F3D8D"/>
    <w:rsid w:val="0002058B"/>
    <w:rsid w:val="00087C9C"/>
    <w:rsid w:val="001035A8"/>
    <w:rsid w:val="00105ADC"/>
    <w:rsid w:val="00123852"/>
    <w:rsid w:val="00222A64"/>
    <w:rsid w:val="00243BCE"/>
    <w:rsid w:val="00247AFF"/>
    <w:rsid w:val="00266243"/>
    <w:rsid w:val="00282DEB"/>
    <w:rsid w:val="00316C54"/>
    <w:rsid w:val="00493D00"/>
    <w:rsid w:val="004F0923"/>
    <w:rsid w:val="0056249B"/>
    <w:rsid w:val="00611C9E"/>
    <w:rsid w:val="0062418E"/>
    <w:rsid w:val="006332E1"/>
    <w:rsid w:val="00641325"/>
    <w:rsid w:val="00645560"/>
    <w:rsid w:val="00704711"/>
    <w:rsid w:val="0071337A"/>
    <w:rsid w:val="00741DFA"/>
    <w:rsid w:val="00760872"/>
    <w:rsid w:val="007827D9"/>
    <w:rsid w:val="007B1398"/>
    <w:rsid w:val="007F3D8D"/>
    <w:rsid w:val="008552C7"/>
    <w:rsid w:val="00870554"/>
    <w:rsid w:val="008E41EE"/>
    <w:rsid w:val="009161EC"/>
    <w:rsid w:val="00994E35"/>
    <w:rsid w:val="009B1C48"/>
    <w:rsid w:val="009E4C8A"/>
    <w:rsid w:val="009E4D52"/>
    <w:rsid w:val="009F1F4F"/>
    <w:rsid w:val="00A72632"/>
    <w:rsid w:val="00B00C8F"/>
    <w:rsid w:val="00B104EA"/>
    <w:rsid w:val="00B87FED"/>
    <w:rsid w:val="00C95159"/>
    <w:rsid w:val="00CE540D"/>
    <w:rsid w:val="00D35078"/>
    <w:rsid w:val="00D417ED"/>
    <w:rsid w:val="00EC73CE"/>
    <w:rsid w:val="00F43877"/>
    <w:rsid w:val="00FC5813"/>
    <w:rsid w:val="00FF7A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paragraph" w:styleId="Heading1">
    <w:name w:val="heading 1"/>
    <w:basedOn w:val="Normal"/>
    <w:next w:val="Normal"/>
    <w:link w:val="Heading1Char"/>
    <w:uiPriority w:val="9"/>
    <w:qFormat/>
    <w:rsid w:val="009F1F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F4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105A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ADC"/>
  </w:style>
  <w:style w:type="paragraph" w:styleId="Footer">
    <w:name w:val="footer"/>
    <w:basedOn w:val="Normal"/>
    <w:link w:val="FooterChar"/>
    <w:uiPriority w:val="99"/>
    <w:semiHidden/>
    <w:unhideWhenUsed/>
    <w:rsid w:val="00105A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05ADC"/>
  </w:style>
  <w:style w:type="paragraph" w:styleId="BalloonText">
    <w:name w:val="Balloon Text"/>
    <w:basedOn w:val="Normal"/>
    <w:link w:val="BalloonTextChar"/>
    <w:uiPriority w:val="99"/>
    <w:semiHidden/>
    <w:unhideWhenUsed/>
    <w:rsid w:val="00105A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ADC"/>
    <w:rPr>
      <w:rFonts w:ascii="Tahoma" w:hAnsi="Tahoma" w:cs="Tahoma"/>
      <w:sz w:val="16"/>
      <w:szCs w:val="16"/>
    </w:rPr>
  </w:style>
  <w:style w:type="paragraph" w:styleId="Bibliography">
    <w:name w:val="Bibliography"/>
    <w:basedOn w:val="Normal"/>
    <w:next w:val="Normal"/>
    <w:uiPriority w:val="37"/>
    <w:unhideWhenUsed/>
    <w:rsid w:val="0076087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Sab13</b:Tag>
    <b:SourceType>JournalArticle</b:SourceType>
    <b:Guid>{D96039AB-7495-4DA0-857F-55D3F39E37CA}</b:Guid>
    <b:LCID>0</b:LCID>
    <b:Author>
      <b:Author>
        <b:NameList>
          <b:Person>
            <b:Last>Sabine</b:Last>
            <b:First>V.</b:First>
          </b:Person>
        </b:NameList>
      </b:Author>
    </b:Author>
    <b:Title>How to do business abroad</b:Title>
    <b:Year>2013</b:Year>
    <b:JournalName>Journal of Accountancy</b:JournalName>
    <b:Pages>14-18</b:Pages>
    <b:RefOrder>2</b:RefOrder>
  </b:Source>
  <b:Source>
    <b:Tag>Bur09</b:Tag>
    <b:SourceType>JournalArticle</b:SourceType>
    <b:Guid>{04166531-B8E4-489A-AA5C-D96AB930B28B}</b:Guid>
    <b:LCID>0</b:LCID>
    <b:Author>
      <b:Author>
        <b:NameList>
          <b:Person>
            <b:Last>Burdon</b:Last>
            <b:First>S.</b:First>
          </b:Person>
        </b:NameList>
      </b:Author>
    </b:Author>
    <b:Title>Structuring enduring strategic alliances</b:Title>
    <b:JournalName>Journal of Business Strategy</b:JournalName>
    <b:Year>2009</b:Year>
    <b:Pages>42-50</b:Pages>
    <b:RefOrder>1</b:RefOrder>
  </b:Source>
  <b:Source>
    <b:Tag>Slo18</b:Tag>
    <b:SourceType>JournalArticle</b:SourceType>
    <b:Guid>{9B3F2AC6-84A0-4C1A-8165-63C6F5B9696E}</b:Guid>
    <b:LCID>0</b:LCID>
    <b:Author>
      <b:Author>
        <b:NameList>
          <b:Person>
            <b:Last>Slowotzky</b:Last>
            <b:First>A.</b:First>
          </b:Person>
        </b:NameList>
      </b:Author>
    </b:Author>
    <b:Title>Stop Competing Yourself to Death: Strategic collaboration among rivals</b:Title>
    <b:JournalName>Journal of Business Strategy</b:JournalName>
    <b:Year>2018</b:Year>
    <b:Pages>117-121</b:Pages>
    <b:RefOrder>3</b:RefOrder>
  </b:Source>
</b:Sources>
</file>

<file path=customXml/itemProps1.xml><?xml version="1.0" encoding="utf-8"?>
<ds:datastoreItem xmlns:ds="http://schemas.openxmlformats.org/officeDocument/2006/customXml" ds:itemID="{DAA644AA-4D7F-4DC7-8442-FFA09A904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2018-11-08T00:25:00Z</dcterms:created>
  <dcterms:modified xsi:type="dcterms:W3CDTF">2018-11-08T00:25:00Z</dcterms:modified>
</cp:coreProperties>
</file>